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D3234B" w:rsidRDefault="00193D07" w:rsidP="00B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4B">
        <w:rPr>
          <w:rFonts w:ascii="Times New Roman" w:hAnsi="Times New Roman" w:cs="Times New Roman"/>
          <w:b/>
          <w:sz w:val="28"/>
          <w:szCs w:val="28"/>
        </w:rPr>
        <w:t>«</w:t>
      </w:r>
      <w:r w:rsidR="00D3234B" w:rsidRPr="00D32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сроках уплаты налога, уплачиваемого в связи с применением патентной системы налогообложения</w:t>
      </w:r>
      <w:r w:rsidRPr="00D3234B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BF77E8" w:rsidRDefault="00BF77E8" w:rsidP="00B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234B" w:rsidRPr="00D3234B" w:rsidRDefault="00736B26" w:rsidP="00D3234B">
      <w:pPr>
        <w:pStyle w:val="a6"/>
        <w:ind w:firstLine="720"/>
        <w:jc w:val="both"/>
        <w:rPr>
          <w:color w:val="000000"/>
          <w:sz w:val="24"/>
          <w:szCs w:val="24"/>
        </w:rPr>
      </w:pPr>
      <w:r w:rsidRPr="00D3234B">
        <w:rPr>
          <w:sz w:val="24"/>
          <w:szCs w:val="24"/>
        </w:rPr>
        <w:t xml:space="preserve">ИФНС России по </w:t>
      </w:r>
      <w:proofErr w:type="gramStart"/>
      <w:r w:rsidRPr="00D3234B">
        <w:rPr>
          <w:sz w:val="24"/>
          <w:szCs w:val="24"/>
        </w:rPr>
        <w:t>г</w:t>
      </w:r>
      <w:proofErr w:type="gramEnd"/>
      <w:r w:rsidRPr="00D3234B">
        <w:rPr>
          <w:sz w:val="24"/>
          <w:szCs w:val="24"/>
        </w:rPr>
        <w:t xml:space="preserve">. </w:t>
      </w:r>
      <w:proofErr w:type="spellStart"/>
      <w:r w:rsidRPr="00D3234B">
        <w:rPr>
          <w:sz w:val="24"/>
          <w:szCs w:val="24"/>
        </w:rPr>
        <w:t>Когалыму</w:t>
      </w:r>
      <w:proofErr w:type="spellEnd"/>
      <w:r w:rsidRPr="00D3234B">
        <w:rPr>
          <w:sz w:val="24"/>
          <w:szCs w:val="24"/>
        </w:rPr>
        <w:t xml:space="preserve"> Ханты-Мансийского автономного округа – </w:t>
      </w:r>
      <w:proofErr w:type="spellStart"/>
      <w:r w:rsidRPr="00D3234B">
        <w:rPr>
          <w:sz w:val="24"/>
          <w:szCs w:val="24"/>
        </w:rPr>
        <w:t>Югры</w:t>
      </w:r>
      <w:proofErr w:type="spellEnd"/>
      <w:r w:rsidR="00CD0E11" w:rsidRPr="00D3234B">
        <w:rPr>
          <w:sz w:val="24"/>
          <w:szCs w:val="24"/>
        </w:rPr>
        <w:t xml:space="preserve"> </w:t>
      </w:r>
      <w:r w:rsidR="00D3234B" w:rsidRPr="00D3234B">
        <w:rPr>
          <w:sz w:val="24"/>
          <w:szCs w:val="24"/>
        </w:rPr>
        <w:t>направляет для сведения и использования в работе письмо Министерства финансов Российской Федерации</w:t>
      </w:r>
      <w:r w:rsidR="00D3234B">
        <w:rPr>
          <w:sz w:val="24"/>
          <w:szCs w:val="24"/>
        </w:rPr>
        <w:t xml:space="preserve"> </w:t>
      </w:r>
      <w:r w:rsidR="00D3234B" w:rsidRPr="00D3234B">
        <w:rPr>
          <w:color w:val="000000"/>
          <w:sz w:val="24"/>
          <w:szCs w:val="24"/>
        </w:rPr>
        <w:t xml:space="preserve">от </w:t>
      </w:r>
      <w:r w:rsidR="00D3234B">
        <w:rPr>
          <w:color w:val="000000"/>
          <w:sz w:val="24"/>
          <w:szCs w:val="24"/>
        </w:rPr>
        <w:t xml:space="preserve">20.02.2015 № ГД-4-3/2771@ </w:t>
      </w:r>
      <w:r w:rsidR="00D3234B" w:rsidRPr="00D3234B">
        <w:rPr>
          <w:color w:val="000000"/>
          <w:sz w:val="24"/>
          <w:szCs w:val="24"/>
        </w:rPr>
        <w:t>о сроках уплаты налога, уплачиваемого в связи с применением па</w:t>
      </w:r>
      <w:r w:rsidR="00D3234B">
        <w:rPr>
          <w:color w:val="000000"/>
          <w:sz w:val="24"/>
          <w:szCs w:val="24"/>
        </w:rPr>
        <w:t>тентной системы налогообложения.</w:t>
      </w:r>
    </w:p>
    <w:p w:rsidR="00D3234B" w:rsidRPr="00D3234B" w:rsidRDefault="00D3234B" w:rsidP="00D3234B">
      <w:pPr>
        <w:shd w:val="clear" w:color="auto" w:fill="FFFFFF"/>
        <w:spacing w:before="7" w:line="324" w:lineRule="exact"/>
        <w:ind w:left="14"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статье 346.45 Налогового кодекса Российской Федерации (далее </w:t>
      </w:r>
      <w:proofErr w:type="gramStart"/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одекс) документом, удостоверяющим право на применение патентной системы налогообложения, является патент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налогообложения.</w:t>
      </w:r>
    </w:p>
    <w:p w:rsidR="00D3234B" w:rsidRPr="00D3234B" w:rsidRDefault="00D3234B" w:rsidP="00D3234B">
      <w:pPr>
        <w:shd w:val="clear" w:color="auto" w:fill="FFFFFF"/>
        <w:spacing w:line="324" w:lineRule="exact"/>
        <w:ind w:left="7" w:right="7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на получение патента подается индивидуальным предпринимателем в налоговый орган по месту жительства не </w:t>
      </w:r>
      <w:proofErr w:type="gramStart"/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10 дней до начала применения индивидуальным предпринимателем патентной системы налогообложения. Патент выдается по выбору индивидуального предпринимателя на период от одного до двенадцати месяцев включительно в пределах календарного года.</w:t>
      </w:r>
    </w:p>
    <w:p w:rsidR="00D3234B" w:rsidRPr="00D3234B" w:rsidRDefault="00D3234B" w:rsidP="00D3234B">
      <w:pPr>
        <w:shd w:val="clear" w:color="auto" w:fill="FFFFFF"/>
        <w:spacing w:before="7" w:line="324" w:lineRule="exact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2 статьи 346.51 Кодекса в редакции, действовавшей до 1 января 2015 года, индивидуальный предприниматель, </w:t>
      </w:r>
      <w:r w:rsidRPr="00D32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перешедший на патентную систему налогообложения, производил уплату налога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постановки на учет в налоговом органе:</w:t>
      </w:r>
    </w:p>
    <w:p w:rsidR="00D3234B" w:rsidRPr="00D3234B" w:rsidRDefault="00D3234B" w:rsidP="00D3234B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after="0" w:line="324" w:lineRule="exact"/>
        <w:ind w:right="22" w:firstLine="533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патент получен на срок до шести месяцев, - в размере полной суммы налога в срок не позднее двадцати пяти календарных дней после начала действия патента;</w:t>
      </w:r>
    </w:p>
    <w:p w:rsidR="00D3234B" w:rsidRPr="00D3234B" w:rsidRDefault="00D3234B" w:rsidP="00D3234B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4" w:lineRule="exact"/>
        <w:ind w:left="53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патент получен на срок от шести месяцев до календарного года:</w:t>
      </w:r>
    </w:p>
    <w:p w:rsidR="00D3234B" w:rsidRPr="00D3234B" w:rsidRDefault="00D3234B" w:rsidP="00D3234B">
      <w:pPr>
        <w:shd w:val="clear" w:color="auto" w:fill="FFFFFF"/>
        <w:spacing w:line="324" w:lineRule="exact"/>
        <w:ind w:left="7" w:right="22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одной трети суммы налога в срок не позднее двадцати пяти календарных дней после начала действия патента;</w:t>
      </w:r>
    </w:p>
    <w:p w:rsidR="00D3234B" w:rsidRPr="00D3234B" w:rsidRDefault="00D3234B" w:rsidP="00D3234B">
      <w:pPr>
        <w:shd w:val="clear" w:color="auto" w:fill="FFFFFF"/>
        <w:spacing w:line="324" w:lineRule="exact"/>
        <w:ind w:left="7" w:right="22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двух третей суммы налога в срок не позднее тридцати календарных дней до дня окончания налогового периода.</w:t>
      </w:r>
    </w:p>
    <w:p w:rsidR="00D3234B" w:rsidRPr="00D3234B" w:rsidRDefault="00D3234B" w:rsidP="00D3234B">
      <w:pPr>
        <w:shd w:val="clear" w:color="auto" w:fill="FFFFFF"/>
        <w:spacing w:line="324" w:lineRule="exact"/>
        <w:ind w:left="7" w:right="22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января 2015 года, в связи с изменениями, внесенными в пункт 2 статьи 346.51 Кодекса Федеральным законом от 29.12.2014 № 477-ФЗ «О внесении изменений в часть вторую Налогового кодекса Российской Федерации», уплата налога производится в следующие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сроки:</w:t>
      </w:r>
    </w:p>
    <w:p w:rsidR="00D3234B" w:rsidRPr="00D3234B" w:rsidRDefault="00D3234B" w:rsidP="00D3234B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4" w:lineRule="exact"/>
        <w:ind w:left="7" w:right="14" w:firstLine="5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если патент получен </w:t>
      </w:r>
      <w:r w:rsidRPr="00D32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 срок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до шести месяцев, - в размере полной суммы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 в срок не позднее срока окончания действия патента;</w:t>
      </w:r>
    </w:p>
    <w:p w:rsidR="00D3234B" w:rsidRPr="00D3234B" w:rsidRDefault="00D3234B" w:rsidP="00D3234B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4" w:lineRule="exact"/>
        <w:ind w:left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если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патент получен на срок от шести месяцев до календарного года:</w:t>
      </w:r>
    </w:p>
    <w:p w:rsidR="00D3234B" w:rsidRPr="00D3234B" w:rsidRDefault="00D3234B" w:rsidP="00D3234B">
      <w:pPr>
        <w:shd w:val="clear" w:color="auto" w:fill="FFFFFF"/>
        <w:spacing w:line="324" w:lineRule="exact"/>
        <w:ind w:left="7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размере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одной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суммы налога в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позднее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девяноста календарных дней после начала действия патента;</w:t>
      </w:r>
    </w:p>
    <w:p w:rsidR="00D3234B" w:rsidRPr="00D3234B" w:rsidRDefault="00D3234B" w:rsidP="00D3234B">
      <w:pPr>
        <w:shd w:val="clear" w:color="auto" w:fill="FFFFFF"/>
        <w:spacing w:line="324" w:lineRule="exact"/>
        <w:ind w:left="7" w:right="1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двух третей суммы налога в срок не позднее срока окончания действия патента.</w:t>
      </w:r>
    </w:p>
    <w:p w:rsidR="00D3234B" w:rsidRPr="00D3234B" w:rsidRDefault="00D3234B" w:rsidP="00D3234B">
      <w:pPr>
        <w:shd w:val="clear" w:color="auto" w:fill="FFFFFF"/>
        <w:spacing w:before="7" w:line="324" w:lineRule="exact"/>
        <w:ind w:left="7" w:right="14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3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В связи с этим, в карточках </w:t>
      </w:r>
      <w:r w:rsidRPr="00D32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расчетов с бюджетом налогоплательщиков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налогу, уплачиваемому в связи с применением патентной системы </w:t>
      </w:r>
      <w:r w:rsidRPr="00D32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налогообложения, по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патентам на 2015 год, выданным </w:t>
      </w:r>
      <w:r w:rsidRPr="00D32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 </w:t>
      </w:r>
      <w:r w:rsidRPr="00D32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января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2015 </w:t>
      </w:r>
      <w:r w:rsidRPr="00D32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года,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суммы налога по срокам уплаты, действовавшим до 1 января 2015 года подлежат сторнированию, а начисление налога следует осуществить по срокам уплаты, действующим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января </w:t>
      </w:r>
      <w:r w:rsidRPr="00D3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2015 </w:t>
      </w:r>
      <w:r w:rsidRPr="00D3234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proofErr w:type="gramEnd"/>
    </w:p>
    <w:p w:rsidR="008F23C7" w:rsidRDefault="008F23C7" w:rsidP="00D3234B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36B26" w:rsidRPr="0063702B" w:rsidRDefault="00736B26" w:rsidP="008F23C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8F23C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93D07"/>
    <w:rsid w:val="002673ED"/>
    <w:rsid w:val="003158CC"/>
    <w:rsid w:val="003417AF"/>
    <w:rsid w:val="0044514C"/>
    <w:rsid w:val="004C3EE1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A23C2C"/>
    <w:rsid w:val="00AC122D"/>
    <w:rsid w:val="00B15939"/>
    <w:rsid w:val="00B44331"/>
    <w:rsid w:val="00BF77E8"/>
    <w:rsid w:val="00C64BED"/>
    <w:rsid w:val="00CD0E11"/>
    <w:rsid w:val="00D3234B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15</cp:revision>
  <dcterms:created xsi:type="dcterms:W3CDTF">2015-03-23T03:45:00Z</dcterms:created>
  <dcterms:modified xsi:type="dcterms:W3CDTF">2015-06-01T11:59:00Z</dcterms:modified>
</cp:coreProperties>
</file>